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12" w:rsidRDefault="00D74412">
      <w:pPr>
        <w:ind w:left="4678"/>
        <w:jc w:val="center"/>
      </w:pPr>
      <w:r>
        <w:t xml:space="preserve">Утверждено Решением Общего собрания членов </w:t>
      </w:r>
      <w:r w:rsidR="00580816">
        <w:t>СРО РАО</w:t>
      </w:r>
    </w:p>
    <w:p w:rsidR="00D74412" w:rsidRDefault="00D74412">
      <w:pPr>
        <w:ind w:left="4678"/>
        <w:jc w:val="center"/>
      </w:pPr>
      <w:r>
        <w:t xml:space="preserve">Протокол № </w:t>
      </w:r>
      <w:r w:rsidR="0015097D">
        <w:t>35</w:t>
      </w:r>
    </w:p>
    <w:p w:rsidR="00D74412" w:rsidRDefault="00D74412">
      <w:pPr>
        <w:ind w:left="4678"/>
        <w:jc w:val="center"/>
      </w:pPr>
      <w:r>
        <w:t>от «</w:t>
      </w:r>
      <w:r w:rsidR="0015097D">
        <w:t>2</w:t>
      </w:r>
      <w:r w:rsidR="00580816">
        <w:t>2</w:t>
      </w:r>
      <w:r w:rsidR="00625204">
        <w:t xml:space="preserve">» </w:t>
      </w:r>
      <w:r w:rsidR="0015097D">
        <w:t>сентября</w:t>
      </w:r>
      <w:r w:rsidR="00580816">
        <w:t xml:space="preserve"> </w:t>
      </w:r>
      <w:r w:rsidR="0015097D">
        <w:t>2022</w:t>
      </w:r>
      <w:r w:rsidR="00625204">
        <w:t xml:space="preserve"> года </w:t>
      </w:r>
    </w:p>
    <w:p w:rsidR="00D74412" w:rsidRDefault="00D74412">
      <w:pPr>
        <w:ind w:left="4678"/>
        <w:jc w:val="center"/>
      </w:pPr>
      <w:bookmarkStart w:id="0" w:name="_GoBack"/>
      <w:bookmarkEnd w:id="0"/>
    </w:p>
    <w:p w:rsidR="00D74412" w:rsidRDefault="00D74412">
      <w:pPr>
        <w:ind w:left="4678"/>
        <w:jc w:val="center"/>
      </w:pPr>
      <w:r>
        <w:t xml:space="preserve">Председатель Общего собрания членов </w:t>
      </w:r>
    </w:p>
    <w:p w:rsidR="00D74412" w:rsidRDefault="00580816">
      <w:pPr>
        <w:ind w:left="4678"/>
        <w:jc w:val="center"/>
      </w:pPr>
      <w:r>
        <w:t>СРО РАО</w:t>
      </w:r>
    </w:p>
    <w:p w:rsidR="00D74412" w:rsidRDefault="00D74412">
      <w:pPr>
        <w:ind w:left="4678"/>
        <w:jc w:val="center"/>
      </w:pPr>
      <w:r>
        <w:t xml:space="preserve"> </w:t>
      </w:r>
    </w:p>
    <w:p w:rsidR="00D74412" w:rsidRDefault="00D74412">
      <w:pPr>
        <w:ind w:left="4906"/>
        <w:jc w:val="center"/>
      </w:pPr>
      <w:r>
        <w:t xml:space="preserve">_____________________К. </w:t>
      </w:r>
      <w:r w:rsidR="0015097D">
        <w:t>Ю. Кулаков</w:t>
      </w: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</w:rPr>
      </w:pP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D74412" w:rsidRDefault="00D74412">
      <w:pPr>
        <w:jc w:val="center"/>
      </w:pPr>
      <w:r>
        <w:t xml:space="preserve">об Экспертном совете </w:t>
      </w:r>
    </w:p>
    <w:p w:rsidR="00580816" w:rsidRDefault="00580816">
      <w:pPr>
        <w:jc w:val="center"/>
      </w:pPr>
      <w:r>
        <w:t>(новая редакция)</w:t>
      </w:r>
    </w:p>
    <w:p w:rsidR="00D74412" w:rsidRDefault="00D74412">
      <w:pPr>
        <w:jc w:val="center"/>
      </w:pPr>
    </w:p>
    <w:p w:rsidR="00625204" w:rsidRDefault="00625204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</w:p>
    <w:p w:rsidR="00D74412" w:rsidRDefault="00D74412">
      <w:pPr>
        <w:jc w:val="center"/>
      </w:pPr>
      <w:r>
        <w:t xml:space="preserve">г. </w:t>
      </w:r>
      <w:r w:rsidR="0015097D">
        <w:t>Москва</w:t>
      </w:r>
    </w:p>
    <w:p w:rsidR="00D74412" w:rsidRDefault="0015097D">
      <w:pPr>
        <w:jc w:val="center"/>
      </w:pPr>
      <w:r>
        <w:t>2022</w:t>
      </w:r>
      <w:r w:rsidR="00D74412">
        <w:t>г.</w:t>
      </w: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</w:t>
      </w:r>
    </w:p>
    <w:p w:rsidR="00D74412" w:rsidRDefault="00D74412">
      <w:pPr>
        <w:numPr>
          <w:ilvl w:val="1"/>
          <w:numId w:val="1"/>
        </w:numPr>
        <w:ind w:left="3" w:right="3" w:firstLine="681"/>
        <w:jc w:val="both"/>
      </w:pPr>
      <w:r>
        <w:t xml:space="preserve">Настоящее Положение об Экспертном совете </w:t>
      </w:r>
      <w:r w:rsidR="00625204">
        <w:t>С</w:t>
      </w:r>
      <w:r>
        <w:t xml:space="preserve">аморегулируемой организации </w:t>
      </w:r>
      <w:r w:rsidR="00625204">
        <w:t>Региональной ассоциации</w:t>
      </w:r>
      <w:r>
        <w:t xml:space="preserve"> оценщиков (далее – </w:t>
      </w:r>
      <w:r w:rsidR="00625204">
        <w:t>Ассоциация</w:t>
      </w:r>
      <w:r>
        <w:t>) устанавливает статус, структуру, цель деятельности, полномочия и регламент работы Экспертного совета.</w:t>
      </w:r>
    </w:p>
    <w:p w:rsidR="00D74412" w:rsidRDefault="00D74412">
      <w:pPr>
        <w:numPr>
          <w:ilvl w:val="1"/>
          <w:numId w:val="1"/>
        </w:numPr>
        <w:ind w:left="3" w:right="3" w:firstLine="681"/>
        <w:jc w:val="both"/>
      </w:pPr>
      <w:r>
        <w:t xml:space="preserve">Экспертный совет образован в соответствии с Уставом </w:t>
      </w:r>
      <w:r w:rsidR="00625204">
        <w:t>Ассоциации</w:t>
      </w:r>
      <w:r>
        <w:t xml:space="preserve"> и в своей деятельности руководствуется законодательством Российской Федерации, решениями Совета </w:t>
      </w:r>
      <w:r w:rsidR="00625204">
        <w:t>Ассоциации</w:t>
      </w:r>
      <w:r>
        <w:t>, а также настоящим Положением.</w:t>
      </w:r>
    </w:p>
    <w:p w:rsidR="00D74412" w:rsidRDefault="00D74412">
      <w:pPr>
        <w:numPr>
          <w:ilvl w:val="1"/>
          <w:numId w:val="1"/>
        </w:numPr>
        <w:ind w:left="3" w:right="3" w:firstLine="681"/>
        <w:jc w:val="both"/>
      </w:pPr>
      <w:r>
        <w:t xml:space="preserve">Экспертный совет является постоянно действующим консультативным специализированным органом </w:t>
      </w:r>
      <w:r w:rsidR="00625204">
        <w:t>Ассоциации</w:t>
      </w:r>
      <w:r>
        <w:t>.</w:t>
      </w:r>
    </w:p>
    <w:p w:rsidR="00D74412" w:rsidRDefault="00D74412">
      <w:pPr>
        <w:numPr>
          <w:ilvl w:val="1"/>
          <w:numId w:val="1"/>
        </w:numPr>
        <w:ind w:left="3" w:right="3" w:firstLine="681"/>
        <w:jc w:val="both"/>
      </w:pPr>
      <w:r>
        <w:t xml:space="preserve">Организационно-техническое и финансовое обеспечение деятельности Экспертного совета осуществляется исполнительным органом </w:t>
      </w:r>
      <w:r w:rsidR="00625204">
        <w:t>Ассоциации</w:t>
      </w:r>
      <w:r>
        <w:t>.</w:t>
      </w:r>
    </w:p>
    <w:p w:rsidR="00D74412" w:rsidRDefault="00D74412">
      <w:pPr>
        <w:jc w:val="both"/>
      </w:pP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t>2. Компетенция Экспертного совета</w:t>
      </w:r>
    </w:p>
    <w:p w:rsidR="00D74412" w:rsidRDefault="00D74412">
      <w:pPr>
        <w:ind w:left="3" w:right="3" w:firstLine="669"/>
        <w:jc w:val="both"/>
      </w:pPr>
      <w:r>
        <w:t>2.1 К компетенции Экспертного совета относятся следующие вопросы:</w:t>
      </w:r>
    </w:p>
    <w:p w:rsidR="00D74412" w:rsidRDefault="00D74412">
      <w:pPr>
        <w:ind w:left="3" w:right="3" w:firstLine="669"/>
        <w:jc w:val="both"/>
      </w:pPr>
      <w:r>
        <w:t>2.1.1. Проведение экспертизы отчетов об оценке объектов оценки на соблюдение требований законодательных и нормативных правовых актов Российской Федерации в области оценочной деятельности и соответствие стандартам оценки, а также на полноту, объективность выводов, правильность применения методов оценки, достаточность и достоверность используемой информации;</w:t>
      </w:r>
    </w:p>
    <w:p w:rsidR="00D74412" w:rsidRDefault="00D74412">
      <w:pPr>
        <w:ind w:left="3" w:right="3" w:firstLine="669"/>
        <w:jc w:val="both"/>
      </w:pPr>
      <w:r>
        <w:t>2.1.2. Предоставление разъяснений и консультаций исполнителю отчета с целью исправления выявленных ошибок и отклонений силами и средствами исполнителя;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>Разработку предложений, направленных на повышение уровня квалификации оценщиков;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>Разработку единых требований к экспертизе отчетов, к квалификации и условиям работы экспертов;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>Привлечение квалифицированных консультантов по различным направлениям оценочной деятельности для разовой либо постоянной работы;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 xml:space="preserve">Оказание консультационной, правовой, методической и иной помощи членам </w:t>
      </w:r>
      <w:r w:rsidR="00625204">
        <w:t>Ассоциации</w:t>
      </w:r>
      <w:r>
        <w:t>.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 xml:space="preserve">Разработка требований к аттестации и сертификации членов </w:t>
      </w:r>
      <w:r w:rsidR="00625204">
        <w:t>Ассоциации</w:t>
      </w:r>
      <w:r>
        <w:t>.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>Разработка внутренних стандартов и правил оценочной деятельности.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 xml:space="preserve">Участие в подготовке и проведении конференций, «круглых столов», семинаров и иных публичных мероприятий </w:t>
      </w:r>
      <w:r w:rsidR="00625204">
        <w:t>Ассоциации</w:t>
      </w:r>
      <w:r>
        <w:t>.</w:t>
      </w:r>
    </w:p>
    <w:p w:rsidR="00D74412" w:rsidRDefault="00D74412">
      <w:pPr>
        <w:numPr>
          <w:ilvl w:val="2"/>
          <w:numId w:val="2"/>
        </w:numPr>
        <w:ind w:left="3" w:right="3" w:firstLine="669"/>
        <w:jc w:val="both"/>
      </w:pPr>
      <w:r>
        <w:t xml:space="preserve">Разработка внутренних документов Экспертного совета, порядка проведения экспертизы отчетов, которые утверждаются Советом </w:t>
      </w:r>
      <w:r w:rsidR="00625204">
        <w:t>Ассоциации</w:t>
      </w:r>
      <w:r>
        <w:t>.</w:t>
      </w:r>
    </w:p>
    <w:p w:rsidR="00D74412" w:rsidRDefault="00D74412">
      <w:pPr>
        <w:ind w:left="3" w:right="3" w:firstLine="669"/>
        <w:jc w:val="both"/>
      </w:pP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t>3. Состав Экспертного совета</w:t>
      </w:r>
    </w:p>
    <w:p w:rsidR="00D74412" w:rsidRDefault="00D74412">
      <w:pPr>
        <w:pStyle w:val="ConsPlusNormal"/>
        <w:widowControl/>
        <w:ind w:left="3" w:right="3"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Экспертный совет формируется Общим собранием членов </w:t>
      </w:r>
      <w:r w:rsidR="00625204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из членов </w:t>
      </w:r>
      <w:r w:rsidR="00625204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составе не менее чем семь человек. </w:t>
      </w:r>
    </w:p>
    <w:p w:rsidR="00362471" w:rsidRDefault="00D74412" w:rsidP="00362471">
      <w:pPr>
        <w:ind w:left="3" w:right="3" w:firstLine="658"/>
        <w:jc w:val="both"/>
      </w:pPr>
      <w:r>
        <w:t xml:space="preserve">3.2 </w:t>
      </w:r>
      <w:r w:rsidR="00362471">
        <w:t>Общее собрание членов Ассоциации назначает из числа членов Экспертного Совета Председателя Экспертного совета, а также двух сопредседателей.</w:t>
      </w:r>
    </w:p>
    <w:p w:rsidR="00362471" w:rsidRDefault="00362471" w:rsidP="00362471">
      <w:pPr>
        <w:ind w:left="3" w:right="3" w:firstLine="658"/>
        <w:jc w:val="both"/>
      </w:pPr>
      <w:r>
        <w:t>В случае прекращения полномочий Председателя Экспертного совета, по решению Президента Ассоциации Председатель назначается из числа сопредседателей без проведения Общего собрания членов Ассоциации.</w:t>
      </w:r>
    </w:p>
    <w:p w:rsidR="00362471" w:rsidRDefault="00362471" w:rsidP="00362471">
      <w:pPr>
        <w:ind w:left="3" w:right="3" w:firstLine="658"/>
        <w:jc w:val="both"/>
      </w:pPr>
      <w:r>
        <w:t>Председатель/сопредседатели могут быть отстранены от должности по решению Президента Ассоциации. В этом случае Президент Ассоциации назначает исполняющего обязанности Председателя Экспертного Совета, со сроком полномочий до проведения общего собрания членов Ассоциации с повесткой дня об избрании Председателя Экспертного совета, но не более чем на шесть месяцев.</w:t>
      </w:r>
    </w:p>
    <w:p w:rsidR="00D74412" w:rsidRDefault="00362471" w:rsidP="00362471">
      <w:pPr>
        <w:ind w:left="3" w:right="3" w:firstLine="658"/>
        <w:jc w:val="both"/>
      </w:pPr>
      <w:r>
        <w:t>3.3. Требования к членам Экспертного совета устанавливаются Общим собранием членов Ассоциации.</w:t>
      </w:r>
    </w:p>
    <w:p w:rsidR="00362471" w:rsidRDefault="00362471">
      <w:pPr>
        <w:jc w:val="center"/>
        <w:rPr>
          <w:b/>
          <w:bCs/>
        </w:rPr>
      </w:pP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t>4. Регламент работы Экспертного совета</w:t>
      </w:r>
    </w:p>
    <w:p w:rsidR="00D74412" w:rsidRDefault="00D74412">
      <w:pPr>
        <w:ind w:left="3" w:right="3" w:firstLine="681"/>
        <w:jc w:val="both"/>
      </w:pPr>
      <w:r>
        <w:t xml:space="preserve">4.1 Заседания Экспертного совета проводятся по мере необходимости, но не реже одного раза в </w:t>
      </w:r>
      <w:r w:rsidR="0015097D">
        <w:t>год</w:t>
      </w:r>
      <w:r>
        <w:t xml:space="preserve">. </w:t>
      </w:r>
    </w:p>
    <w:p w:rsidR="00D74412" w:rsidRDefault="00D74412">
      <w:pPr>
        <w:ind w:left="3" w:right="3" w:firstLine="681"/>
        <w:jc w:val="both"/>
      </w:pPr>
      <w:r>
        <w:t>4.2 Повестка заседания утверждается Председателем Экспертного совета.</w:t>
      </w:r>
    </w:p>
    <w:p w:rsidR="00D74412" w:rsidRDefault="00D74412">
      <w:pPr>
        <w:numPr>
          <w:ilvl w:val="1"/>
          <w:numId w:val="3"/>
        </w:numPr>
        <w:ind w:left="3" w:right="3" w:firstLine="681"/>
        <w:jc w:val="both"/>
      </w:pPr>
      <w:r>
        <w:t>Заседание Экспертного совета правомочно, если на нем присутствуют более половины его членов. Решения Экспертного совета принимаются большинством голосов от числа присутствующих на заседании членов Экспертного совета.</w:t>
      </w:r>
    </w:p>
    <w:p w:rsidR="00D74412" w:rsidRDefault="00D74412">
      <w:pPr>
        <w:numPr>
          <w:ilvl w:val="1"/>
          <w:numId w:val="3"/>
        </w:numPr>
        <w:ind w:left="3" w:right="3" w:firstLine="681"/>
        <w:jc w:val="both"/>
      </w:pPr>
      <w:r>
        <w:t>Решения Экспертного совета могут быть приняты без совместного присутствия членов Экспертного совета для обсуждения вопросов повестки дня и принятия решений по вопросам, поставленным на голосование, путем проведения заочного голосования. Заочное голосование может проводиться по решению Председателя Экспертного совета.</w:t>
      </w:r>
    </w:p>
    <w:p w:rsidR="00D74412" w:rsidRDefault="00D74412">
      <w:pPr>
        <w:numPr>
          <w:ilvl w:val="1"/>
          <w:numId w:val="3"/>
        </w:numPr>
        <w:ind w:left="3" w:right="3" w:firstLine="681"/>
        <w:jc w:val="both"/>
      </w:pPr>
      <w:r>
        <w:t xml:space="preserve">Порядок проведения экспертизы, оформления экспертных заключений утверждается Советом </w:t>
      </w:r>
      <w:r w:rsidR="00625204">
        <w:t>Ассоциации</w:t>
      </w:r>
      <w:r>
        <w:t>.</w:t>
      </w:r>
    </w:p>
    <w:p w:rsidR="00D74412" w:rsidRDefault="00D74412">
      <w:pPr>
        <w:jc w:val="both"/>
      </w:pPr>
    </w:p>
    <w:p w:rsidR="00D74412" w:rsidRDefault="00D74412">
      <w:pPr>
        <w:jc w:val="center"/>
        <w:rPr>
          <w:b/>
          <w:bCs/>
        </w:rPr>
      </w:pPr>
      <w:r>
        <w:rPr>
          <w:b/>
          <w:bCs/>
        </w:rPr>
        <w:t>5. Права и обязанности членов Экспертного Совета.</w:t>
      </w:r>
    </w:p>
    <w:p w:rsidR="00D74412" w:rsidRDefault="00D74412">
      <w:pPr>
        <w:ind w:left="3" w:right="3" w:firstLine="681"/>
        <w:jc w:val="both"/>
        <w:rPr>
          <w:b/>
        </w:rPr>
      </w:pPr>
      <w:r>
        <w:rPr>
          <w:b/>
        </w:rPr>
        <w:t>5.1.</w:t>
      </w:r>
      <w:r>
        <w:rPr>
          <w:b/>
          <w:bCs/>
        </w:rPr>
        <w:t xml:space="preserve"> Обязанности эксперта</w:t>
      </w:r>
      <w:r>
        <w:rPr>
          <w:b/>
        </w:rPr>
        <w:t>: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5.1.1.При наличии предусмотренных законодательством Российской Федерации оснований для отказа от производства экспертизы сообщить об этом Председателю Экспертного совета с целью назначения другого эксперта либо уведомления органа или лица, обратившегося за экспертизой, об отказе в производстве экспертизы.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5.1.2.При отсутствии оснований для самоотвода принять порученную ему экспертизу к производству.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5.1.3. В случае возникновения оснований для самоотвода в ходе производства экспертизы немедленно заявить об этом Председателю Экспертного совета.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5.1.4.Провести полное исследование представленных ему материалов, дать объективное и обоснованное экспертное заключение по поставленным перед ним вопросам.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5.1.5.Предоставлять разъяснения по вопросам, связанным с проведением экспертизы, и по экспертному заключению.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5.1.6.Давать показания в суде по произведенной экспертизе на основании определения суда.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5.1.7.Не разглашать сведения, которые стали ему известны в связи с производством экспертизы и которые могут нанести ущерб правам граждан либо составляют коммерческую тайну, охраняемую законом.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5.1.8.Обеспечивать сохранность предоставленных материалов.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5.1.9.Не осуществлять экспертизу отчетов об оценке в случае, если по решению Совета </w:t>
      </w:r>
      <w:r w:rsidR="00625204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приостановлена  его деятельность в качестве эксперта.</w:t>
      </w:r>
    </w:p>
    <w:p w:rsidR="00D74412" w:rsidRDefault="00D74412">
      <w:pPr>
        <w:pStyle w:val="210"/>
        <w:ind w:left="3" w:right="3" w:firstLine="6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5.2. Эксперт имеет право: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5.2.1.Знакомиться с материалами, относящимися к предмету экспертизы, выписывать из них необходимые сведения или снимать копии.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5.2.2.Заявлять ходатайства к Заказчику экспертизы через органы управления </w:t>
      </w:r>
      <w:r w:rsidR="00625204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о предоставлении дополнительных материалов, необходимых для дачи заключения.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5.2.4.Ходатайствовать о привлечении к производству экспертизы других экспертов (консультантов).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5.2.5.Отказаться от производства экспертизы в случаях: недостаточности материалов исследования для дачи заключения при отказе в их дополнении; возникновения угрозы жизни и здоровью эксперта, выходящей за рамки профессионального риска.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5.2.6.Указывать в своем заключении имеющие значение обстоятельства, установленные при производстве экспертизы, но не включенные в содержание экспертного задания. </w:t>
      </w:r>
    </w:p>
    <w:p w:rsidR="00A32851" w:rsidRDefault="00A32851">
      <w:pPr>
        <w:pStyle w:val="210"/>
        <w:ind w:left="3" w:right="3" w:firstLine="681"/>
        <w:jc w:val="both"/>
        <w:rPr>
          <w:b/>
          <w:sz w:val="24"/>
          <w:szCs w:val="24"/>
        </w:rPr>
      </w:pPr>
    </w:p>
    <w:p w:rsidR="00A32851" w:rsidRDefault="00A32851">
      <w:pPr>
        <w:pStyle w:val="210"/>
        <w:ind w:left="3" w:right="3" w:firstLine="681"/>
        <w:jc w:val="both"/>
        <w:rPr>
          <w:b/>
          <w:sz w:val="24"/>
          <w:szCs w:val="24"/>
        </w:rPr>
      </w:pPr>
    </w:p>
    <w:p w:rsidR="00A32851" w:rsidRDefault="00A32851">
      <w:pPr>
        <w:pStyle w:val="210"/>
        <w:ind w:left="3" w:right="3" w:firstLine="681"/>
        <w:jc w:val="both"/>
        <w:rPr>
          <w:b/>
          <w:sz w:val="24"/>
          <w:szCs w:val="24"/>
        </w:rPr>
      </w:pPr>
    </w:p>
    <w:p w:rsidR="00D74412" w:rsidRDefault="00D74412">
      <w:pPr>
        <w:pStyle w:val="210"/>
        <w:ind w:left="3" w:right="3" w:firstLine="6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5.3. Эксперт не вправе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5.3.1.Вступать в личные контакты с заказчиком либо с заинтересованными в результатах экспертизы лицами по вопросам, связанными с проведением экспертизы, ставящим под сомнение его незаинтересованность в исходе дела;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5.3.2.Принимать участие в производстве экспертизы, если он принимал непосредственное участие в проведении оценки, если он является учредителем, собственником, акционером, кредитором, страховщиком или должностным лицом юридического лица, заказчика экспертизы либо исполнителя оценки, если он имеет имущественный интерес в объекте оценки, по которому проводится экспертиза, если он состоит с заинтересованными лицами в близком родстве или свойстве. </w:t>
      </w:r>
    </w:p>
    <w:p w:rsidR="00D74412" w:rsidRDefault="00D74412">
      <w:pPr>
        <w:pStyle w:val="210"/>
        <w:ind w:left="3" w:right="3" w:firstLine="681"/>
        <w:jc w:val="both"/>
        <w:rPr>
          <w:sz w:val="24"/>
          <w:szCs w:val="24"/>
        </w:rPr>
      </w:pPr>
      <w:r>
        <w:rPr>
          <w:sz w:val="24"/>
          <w:szCs w:val="24"/>
        </w:rPr>
        <w:t>5.3.3.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>амостоятельно собирать материалы для производства экспертизы без разрешения лица или органа, обратившегося за экспертизой.</w:t>
      </w:r>
    </w:p>
    <w:p w:rsidR="00D74412" w:rsidRDefault="00D74412">
      <w:pPr>
        <w:ind w:left="3" w:right="3" w:firstLine="681"/>
        <w:jc w:val="both"/>
      </w:pPr>
      <w:r>
        <w:t>5.3.4.Уничтожать материалы экспертного исследования.</w:t>
      </w:r>
    </w:p>
    <w:p w:rsidR="00D74412" w:rsidRDefault="00D74412">
      <w:pPr>
        <w:ind w:left="3" w:right="3" w:firstLine="681"/>
        <w:jc w:val="both"/>
      </w:pPr>
      <w:r>
        <w:t xml:space="preserve">5.3.5. Отказываться без уважительных причин от проведения экспертизы, порученной Председателем Экспертного совета или иным уполномоченным лицом. В случае необоснованного отказа эксперт может быть исключен из Экспертного совета </w:t>
      </w:r>
      <w:r w:rsidR="00625204">
        <w:t>Ассоциации</w:t>
      </w:r>
      <w:r>
        <w:t xml:space="preserve"> решением Совета </w:t>
      </w:r>
      <w:r w:rsidR="00625204">
        <w:t>Ассоциации</w:t>
      </w:r>
      <w:r>
        <w:t xml:space="preserve"> в одностороннем порядке без предварительного уведомления эксперта.</w:t>
      </w:r>
    </w:p>
    <w:p w:rsidR="00D74412" w:rsidRDefault="00D74412">
      <w:pPr>
        <w:ind w:left="3" w:right="3" w:firstLine="681"/>
        <w:jc w:val="both"/>
      </w:pPr>
      <w:r>
        <w:t>5.4. Не допускается вмешательство Заказчика, либо иных заинтересованных лиц в деятельность экспертов, если это может негативно повлиять на достоверность результата проведения экспертизы, в том числе ограничение круга вопросов, подлежащих выяснению или определению.</w:t>
      </w:r>
    </w:p>
    <w:p w:rsidR="00D74412" w:rsidRDefault="00D74412">
      <w:pPr>
        <w:ind w:left="3" w:right="3" w:firstLine="681"/>
        <w:jc w:val="both"/>
      </w:pPr>
      <w:r>
        <w:t>5.5. Независимость эксперта гарантируется порядком назначения эксперта, производства экспертизы и утверждения результатов экспертизы в соответствии с настоящим Положением.</w:t>
      </w:r>
    </w:p>
    <w:p w:rsidR="00D74412" w:rsidRDefault="00D74412">
      <w:pPr>
        <w:numPr>
          <w:ilvl w:val="1"/>
          <w:numId w:val="4"/>
        </w:numPr>
        <w:ind w:left="3" w:right="3" w:firstLine="681"/>
        <w:jc w:val="both"/>
      </w:pPr>
      <w:r>
        <w:t xml:space="preserve">Эксперт несет ответственность перед Экспертным советом, </w:t>
      </w:r>
      <w:r w:rsidR="00625204">
        <w:t>Ассоциацией</w:t>
      </w:r>
      <w:r>
        <w:t xml:space="preserve"> и Заказчиком экспертизы в случае необъективности экспертного заключения и необоснованности своих выводов. Эксперты, работающие над одним экспертным заключением, несут солидарную ответственность за общие недостатки своей работы.</w:t>
      </w:r>
    </w:p>
    <w:p w:rsidR="00D74412" w:rsidRDefault="00D74412">
      <w:pPr>
        <w:pStyle w:val="aa"/>
        <w:spacing w:line="200" w:lineRule="atLeast"/>
        <w:jc w:val="center"/>
      </w:pPr>
    </w:p>
    <w:p w:rsidR="00D74412" w:rsidRDefault="00D74412">
      <w:pPr>
        <w:ind w:left="-5" w:right="-5"/>
        <w:jc w:val="center"/>
        <w:rPr>
          <w:b/>
          <w:bCs/>
        </w:rPr>
      </w:pPr>
      <w:r>
        <w:rPr>
          <w:b/>
          <w:bCs/>
        </w:rPr>
        <w:t>6. Региональные экспертные группы.</w:t>
      </w:r>
    </w:p>
    <w:p w:rsidR="00D74412" w:rsidRDefault="00D74412">
      <w:pPr>
        <w:jc w:val="both"/>
      </w:pPr>
    </w:p>
    <w:p w:rsidR="00D74412" w:rsidRDefault="00D74412">
      <w:pPr>
        <w:ind w:left="-5" w:right="10" w:firstLine="690"/>
        <w:jc w:val="both"/>
      </w:pPr>
      <w:r>
        <w:t xml:space="preserve">6.1. Региональные экспертные группы являются подразделениями Экспертного совета </w:t>
      </w:r>
      <w:r w:rsidR="00625204">
        <w:t>Ассоциации</w:t>
      </w:r>
      <w:r>
        <w:t xml:space="preserve"> и входят в состав соответствующего регионального отделения. Региональная экспертная группа осуществляет экспертную деятельность на территории определенного субъекта или нескольких субъектов Российской Федерации и правомочна проводить экспертизу отчетов об оценке, выполненных оценщиками соответствующего субъекта или нескольких субъектов Российской Федерации на основании полномочий, утвержденных Советом </w:t>
      </w:r>
      <w:r w:rsidR="00625204">
        <w:t>Ассоциации</w:t>
      </w:r>
      <w:r>
        <w:t>.</w:t>
      </w:r>
    </w:p>
    <w:p w:rsidR="00D74412" w:rsidRDefault="00D74412">
      <w:pPr>
        <w:ind w:left="-5" w:right="10" w:firstLine="690"/>
        <w:jc w:val="both"/>
      </w:pPr>
      <w:r>
        <w:t xml:space="preserve">6.2.  Руководитель регионального отделения направляет Председателю Экспертного совета </w:t>
      </w:r>
      <w:r w:rsidR="00625204">
        <w:t>Ассоциации</w:t>
      </w:r>
      <w:r>
        <w:t xml:space="preserve"> заявление с просьбой создать региональную экспертную группу в субъекте (субъектах) Российской Федерации.</w:t>
      </w:r>
    </w:p>
    <w:p w:rsidR="00D74412" w:rsidRDefault="00D74412">
      <w:pPr>
        <w:ind w:left="-5" w:right="10" w:firstLine="690"/>
        <w:jc w:val="both"/>
      </w:pPr>
      <w:r>
        <w:t xml:space="preserve">6.3. Председатель Экспертного совета формирует список кандидатов в члены региональной экспертной группы, который   направляет на рассмотрение в Совет </w:t>
      </w:r>
      <w:r w:rsidR="00625204">
        <w:t>Ассоциации</w:t>
      </w:r>
      <w:r>
        <w:t xml:space="preserve">. </w:t>
      </w:r>
    </w:p>
    <w:p w:rsidR="00D74412" w:rsidRDefault="00D74412">
      <w:pPr>
        <w:ind w:left="-5" w:right="10" w:firstLine="690"/>
        <w:jc w:val="both"/>
      </w:pPr>
      <w:r>
        <w:t xml:space="preserve">6.4. Кандидатура на должность Руководителя региональной экспертной группы определяется Председателем Экспертного совета </w:t>
      </w:r>
      <w:r w:rsidR="00625204">
        <w:t>Ассоциации</w:t>
      </w:r>
      <w:r>
        <w:t xml:space="preserve"> и направляется на рассмотрение в Совет </w:t>
      </w:r>
      <w:r w:rsidR="00625204">
        <w:t>Ассоциации</w:t>
      </w:r>
      <w:r>
        <w:t xml:space="preserve">. Кандидат на должность Руководителя региональный экспертной группы обязан представить Председателю Экспертного совета согласие быть назначенным и анкету (Приложение №___ к Положению). </w:t>
      </w:r>
    </w:p>
    <w:p w:rsidR="00D74412" w:rsidRDefault="00D74412">
      <w:pPr>
        <w:ind w:left="-5" w:right="10" w:firstLine="690"/>
        <w:jc w:val="both"/>
      </w:pPr>
      <w:r>
        <w:t xml:space="preserve">6.5. Создание региональной экспертной группы, персональный состав ее членов   утверждаются решением Совета </w:t>
      </w:r>
      <w:r w:rsidR="00625204">
        <w:t>Ассоциации</w:t>
      </w:r>
      <w:r>
        <w:t xml:space="preserve">. </w:t>
      </w:r>
    </w:p>
    <w:p w:rsidR="00D74412" w:rsidRDefault="00D74412">
      <w:pPr>
        <w:ind w:left="-5" w:right="10" w:firstLine="690"/>
        <w:jc w:val="both"/>
      </w:pPr>
      <w:r>
        <w:t xml:space="preserve">6.6. Региональная экспертная группа формируется в составе не менее трех экспертов, являющихся членами Экспертного совета </w:t>
      </w:r>
      <w:r w:rsidR="00625204">
        <w:t>Ассоциации</w:t>
      </w:r>
      <w:r>
        <w:t xml:space="preserve"> и соответствующего регионального отделения..</w:t>
      </w:r>
    </w:p>
    <w:p w:rsidR="00D74412" w:rsidRDefault="00D74412">
      <w:pPr>
        <w:ind w:left="-5" w:right="10" w:firstLine="690"/>
        <w:jc w:val="both"/>
      </w:pPr>
      <w:r>
        <w:t xml:space="preserve">6.7. Руководитель региональной экспертной группы действует на основании доверенности, выданной Председателем Экспертного совета, в рамках полномочий и на территории субъекта (субъектах) РФ, определенных решением Совета </w:t>
      </w:r>
      <w:r w:rsidR="00625204">
        <w:t>Ассоциации</w:t>
      </w:r>
      <w:r>
        <w:t>.</w:t>
      </w:r>
    </w:p>
    <w:p w:rsidR="00D74412" w:rsidRDefault="00D74412">
      <w:pPr>
        <w:ind w:left="-5" w:right="10" w:firstLine="690"/>
        <w:jc w:val="both"/>
      </w:pPr>
      <w:r>
        <w:t xml:space="preserve">6.8. На основании решения Совета </w:t>
      </w:r>
      <w:r w:rsidR="00625204">
        <w:t>Ассоциации</w:t>
      </w:r>
      <w:r>
        <w:t xml:space="preserve"> о создании в  субъекте (субъектах) РФ региональной экспертной группы, о персональном составе и назначении Руководителя региональной экспертной группы Председатель Экспертного совета  принимает решение о формировании Региональной экспертной группы в субъекте (субъектах) РФ и выдает доверенность Руководителю региональной экспертной группы, предоставляющую полномочия, определенные решением Совета </w:t>
      </w:r>
      <w:r w:rsidR="00625204">
        <w:t>Ассоциации</w:t>
      </w:r>
      <w:r>
        <w:t>.</w:t>
      </w:r>
    </w:p>
    <w:p w:rsidR="00D74412" w:rsidRDefault="00D74412">
      <w:pPr>
        <w:ind w:left="-5" w:right="10" w:firstLine="690"/>
        <w:jc w:val="both"/>
      </w:pPr>
      <w:r>
        <w:t xml:space="preserve">Председатель Экспертного совета </w:t>
      </w:r>
      <w:r w:rsidR="00625204">
        <w:t>Ассоциации</w:t>
      </w:r>
      <w:r>
        <w:t xml:space="preserve"> или лицо, назначенное им, ведет реестр выданных доверенностей.</w:t>
      </w:r>
    </w:p>
    <w:p w:rsidR="00D74412" w:rsidRDefault="00D74412">
      <w:pPr>
        <w:ind w:left="-5" w:right="10" w:firstLine="690"/>
        <w:jc w:val="both"/>
      </w:pPr>
      <w:r>
        <w:t xml:space="preserve">6.9. Председатель Экспертного совета или Президент Совета </w:t>
      </w:r>
      <w:r w:rsidR="00625204">
        <w:t>Ассоциации</w:t>
      </w:r>
      <w:r>
        <w:t xml:space="preserve"> вправе в любое время в одностороннем порядке отозвать доверенность, выданную Руководителю экспертной группы, если по данному вопросу будет принято решение Совета </w:t>
      </w:r>
      <w:r w:rsidR="00625204">
        <w:t>Ассоциации</w:t>
      </w:r>
      <w:r>
        <w:t>. Уведомление об отзыве доверенности направляется Руководителю региональной экспертной группы по любым контактным данным, указанным в анкете. Руководитель обязан в течении пяти дней с момента получения такого уведомления направить Председателю Экспертного совета оригинал выданной доверенности.</w:t>
      </w:r>
    </w:p>
    <w:p w:rsidR="00D74412" w:rsidRDefault="00D74412">
      <w:pPr>
        <w:ind w:left="-5" w:right="10" w:firstLine="690"/>
        <w:jc w:val="both"/>
      </w:pPr>
      <w:r>
        <w:t xml:space="preserve">6.10. Руководитель региональной экспертной группы отчитывается перед Председателем Экспертного совета </w:t>
      </w:r>
      <w:r w:rsidR="00625204">
        <w:t>Ассоциации</w:t>
      </w:r>
      <w:r>
        <w:t xml:space="preserve"> путем направления ежемесячно  не позднее пятого числа месяца, следующего за отчетным, реестра установленного образца (Приложение № ___) с приложением копий отчетов и экспертных заключений, выполненных за отчетный период на такие отчеты, в электронной форме.</w:t>
      </w:r>
    </w:p>
    <w:p w:rsidR="00D74412" w:rsidRDefault="00D74412">
      <w:pPr>
        <w:ind w:left="-5" w:right="10" w:firstLine="690"/>
        <w:jc w:val="both"/>
      </w:pPr>
      <w:r>
        <w:t xml:space="preserve">6.11. Руководитель региональной экспертной группы отчитывается перед Руководителем  регионального отделения, в состав которого входит региональная экспертная группа, путем направления ежемесячно  не позднее пятого числа месяца, следующего за отчетным, реестра установленного образца (Приложение № ___) с приложением оригиналов отчетов и экспертных заключений, выполненных за отчетный период на такие отчеты. Руководитель соответствующего регионального отделения  ежемесячно  не позднее десятого числа месяца, следующего за отчетным, направляет указанный реестр с приложениями генеральному директору </w:t>
      </w:r>
      <w:r w:rsidR="00625204">
        <w:t>Ассоциации</w:t>
      </w:r>
      <w:r>
        <w:t>.</w:t>
      </w:r>
    </w:p>
    <w:p w:rsidR="00D74412" w:rsidRDefault="00D74412">
      <w:pPr>
        <w:numPr>
          <w:ilvl w:val="1"/>
          <w:numId w:val="6"/>
        </w:numPr>
        <w:ind w:left="-5" w:right="10" w:firstLine="690"/>
        <w:jc w:val="both"/>
      </w:pPr>
      <w:r>
        <w:t xml:space="preserve">В случае поступления запроса от Президента Совета </w:t>
      </w:r>
      <w:r w:rsidR="00625204">
        <w:t>Ассоциации</w:t>
      </w:r>
      <w:r>
        <w:t xml:space="preserve"> Руководитель региональной экспертной группы обязан предоставить запрашиваемую информацию в трехдневный срок в Совет </w:t>
      </w:r>
      <w:r w:rsidR="00625204">
        <w:t>Ассоциации</w:t>
      </w:r>
      <w:r>
        <w:t>.</w:t>
      </w:r>
    </w:p>
    <w:p w:rsidR="00D74412" w:rsidRDefault="00D74412">
      <w:pPr>
        <w:ind w:firstLine="15"/>
        <w:jc w:val="both"/>
      </w:pPr>
    </w:p>
    <w:p w:rsidR="00D74412" w:rsidRDefault="00D74412">
      <w:pPr>
        <w:pStyle w:val="aa"/>
        <w:spacing w:line="200" w:lineRule="atLeast"/>
        <w:jc w:val="center"/>
        <w:rPr>
          <w:rStyle w:val="a3"/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>7. Заключительные положения.</w:t>
      </w:r>
    </w:p>
    <w:p w:rsidR="00D74412" w:rsidRDefault="00D74412">
      <w:pPr>
        <w:pStyle w:val="aa"/>
        <w:spacing w:line="200" w:lineRule="atLeast"/>
        <w:jc w:val="center"/>
      </w:pPr>
    </w:p>
    <w:p w:rsidR="00D74412" w:rsidRDefault="00D74412">
      <w:pPr>
        <w:spacing w:line="200" w:lineRule="atLeast"/>
        <w:ind w:firstLine="709"/>
        <w:jc w:val="both"/>
      </w:pPr>
      <w:r>
        <w:t xml:space="preserve">7.1. Изменения в настоящее Положение утверждаются решением Общего собрания членов </w:t>
      </w:r>
      <w:r w:rsidR="00625204">
        <w:t>Ассоциации</w:t>
      </w:r>
      <w:r>
        <w:t>.</w:t>
      </w:r>
    </w:p>
    <w:p w:rsidR="00D74412" w:rsidRDefault="00D74412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7.2. Настоящее Положение вступает в действие </w:t>
      </w:r>
      <w:r>
        <w:rPr>
          <w:bCs/>
          <w:color w:val="000000"/>
        </w:rPr>
        <w:t xml:space="preserve">со дня </w:t>
      </w:r>
      <w:r>
        <w:rPr>
          <w:color w:val="000000"/>
        </w:rPr>
        <w:t xml:space="preserve">его утверждения Общим собранием членов </w:t>
      </w:r>
      <w:r w:rsidR="00625204">
        <w:rPr>
          <w:color w:val="000000"/>
        </w:rPr>
        <w:t>Ассоциации</w:t>
      </w:r>
      <w:r>
        <w:rPr>
          <w:color w:val="000000"/>
        </w:rPr>
        <w:t>.</w:t>
      </w:r>
    </w:p>
    <w:sectPr w:rsidR="00D74412" w:rsidSect="0015097D">
      <w:pgSz w:w="11906" w:h="16838"/>
      <w:pgMar w:top="1149" w:right="864" w:bottom="1149" w:left="14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98" w:rsidRDefault="00841B98" w:rsidP="0015097D">
      <w:r>
        <w:separator/>
      </w:r>
    </w:p>
  </w:endnote>
  <w:endnote w:type="continuationSeparator" w:id="0">
    <w:p w:rsidR="00841B98" w:rsidRDefault="00841B98" w:rsidP="001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98" w:rsidRDefault="00841B98" w:rsidP="0015097D">
      <w:r>
        <w:separator/>
      </w:r>
    </w:p>
  </w:footnote>
  <w:footnote w:type="continuationSeparator" w:id="0">
    <w:p w:rsidR="00841B98" w:rsidRDefault="00841B98" w:rsidP="0015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04"/>
    <w:rsid w:val="001033F0"/>
    <w:rsid w:val="0015097D"/>
    <w:rsid w:val="0021278C"/>
    <w:rsid w:val="002254B4"/>
    <w:rsid w:val="00362471"/>
    <w:rsid w:val="00401FD7"/>
    <w:rsid w:val="00580816"/>
    <w:rsid w:val="00625204"/>
    <w:rsid w:val="00841B98"/>
    <w:rsid w:val="00846628"/>
    <w:rsid w:val="009D2395"/>
    <w:rsid w:val="00A32851"/>
    <w:rsid w:val="00CC45B7"/>
    <w:rsid w:val="00D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4B6EFE-52C4-4291-A79F-CB0C1000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5">
    <w:name w:val="Основной шрифт абзаца5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ad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509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097D"/>
    <w:rPr>
      <w:rFonts w:cs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09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097D"/>
    <w:rPr>
      <w:rFonts w:cs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A3285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8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2</cp:revision>
  <cp:lastPrinted>2025-05-15T10:25:00Z</cp:lastPrinted>
  <dcterms:created xsi:type="dcterms:W3CDTF">2025-05-23T12:46:00Z</dcterms:created>
  <dcterms:modified xsi:type="dcterms:W3CDTF">2025-05-23T12:46:00Z</dcterms:modified>
</cp:coreProperties>
</file>